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445FBCC5" w:rsidR="0015728A" w:rsidRDefault="0015728A" w:rsidP="004D567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D70035">
        <w:rPr>
          <w:b/>
          <w:noProof/>
          <w:sz w:val="24"/>
        </w:rPr>
        <w:t>228</w:t>
      </w:r>
      <w:r>
        <w:rPr>
          <w:b/>
          <w:noProof/>
          <w:sz w:val="24"/>
        </w:rPr>
        <w:fldChar w:fldCharType="begin"/>
      </w:r>
      <w:r>
        <w:rPr>
          <w:b/>
          <w:noProof/>
          <w:sz w:val="24"/>
        </w:rPr>
        <w:instrText xml:space="preserve"> DOCPROPERTY  Tdoc#  \* MERGEFORMAT </w:instrText>
      </w:r>
      <w:r>
        <w:rPr>
          <w:b/>
          <w:noProof/>
          <w:sz w:val="24"/>
        </w:rPr>
        <w:fldChar w:fldCharType="end"/>
      </w:r>
    </w:p>
    <w:p w14:paraId="20A018A3" w14:textId="77777777" w:rsidR="0015728A" w:rsidRDefault="0015728A" w:rsidP="0015728A">
      <w:pPr>
        <w:pStyle w:val="CRCoverPage"/>
        <w:outlineLvl w:val="0"/>
        <w:rPr>
          <w:b/>
          <w:noProof/>
          <w:sz w:val="24"/>
        </w:rPr>
      </w:pPr>
      <w:r>
        <w:rPr>
          <w:b/>
          <w:noProof/>
          <w:sz w:val="24"/>
        </w:rPr>
        <w:t>E-Meeting, 6</w:t>
      </w:r>
      <w:r w:rsidRPr="00C45B67">
        <w:rPr>
          <w:b/>
          <w:noProof/>
          <w:sz w:val="24"/>
          <w:vertAlign w:val="superscript"/>
        </w:rPr>
        <w:t>th</w:t>
      </w:r>
      <w:r>
        <w:rPr>
          <w:b/>
          <w:noProof/>
          <w:sz w:val="24"/>
        </w:rPr>
        <w:t xml:space="preserve"> – 12</w:t>
      </w:r>
      <w:r w:rsidRPr="00C45B67">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1D6990E9" w:rsidR="000915B7" w:rsidRPr="000B61FB" w:rsidRDefault="00592A06" w:rsidP="009F4C09">
            <w:pPr>
              <w:pStyle w:val="CRCoverPage"/>
              <w:spacing w:after="0"/>
              <w:jc w:val="right"/>
              <w:rPr>
                <w:b/>
                <w:sz w:val="28"/>
              </w:rPr>
            </w:pPr>
            <w:r w:rsidRPr="000B61FB">
              <w:rPr>
                <w:b/>
                <w:sz w:val="28"/>
              </w:rPr>
              <w:t>29.</w:t>
            </w:r>
            <w:r w:rsidR="000E7E92" w:rsidRPr="000B61FB">
              <w:rPr>
                <w:b/>
                <w:sz w:val="28"/>
              </w:rPr>
              <w:t>5</w:t>
            </w:r>
            <w:r w:rsidR="009F4C09">
              <w:rPr>
                <w:b/>
                <w:sz w:val="28"/>
              </w:rPr>
              <w:t>25</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0BA3CC0E" w:rsidR="000915B7" w:rsidRPr="000B61FB" w:rsidRDefault="00D37A21" w:rsidP="00BD5115">
            <w:pPr>
              <w:pStyle w:val="CRCoverPage"/>
              <w:spacing w:after="0"/>
            </w:pPr>
            <w:r w:rsidRPr="000B61FB">
              <w:rPr>
                <w:b/>
                <w:sz w:val="28"/>
              </w:rPr>
              <w:t>0</w:t>
            </w:r>
            <w:r w:rsidR="00BD5115">
              <w:rPr>
                <w:b/>
                <w:sz w:val="28"/>
              </w:rPr>
              <w:t>209</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0753E6C9" w:rsidR="000915B7" w:rsidRPr="000B61FB" w:rsidRDefault="00592A06" w:rsidP="009F4C09">
            <w:pPr>
              <w:pStyle w:val="CRCoverPage"/>
              <w:spacing w:after="0"/>
              <w:jc w:val="center"/>
              <w:rPr>
                <w:sz w:val="28"/>
              </w:rPr>
            </w:pPr>
            <w:r w:rsidRPr="000B61FB">
              <w:rPr>
                <w:b/>
                <w:sz w:val="28"/>
              </w:rPr>
              <w:t>17.</w:t>
            </w:r>
            <w:r w:rsidR="009F4C09">
              <w:rPr>
                <w:b/>
                <w:sz w:val="28"/>
              </w:rPr>
              <w:t>6</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3A31CB37" w:rsidR="000915B7" w:rsidRPr="000B61FB" w:rsidRDefault="009F4C09" w:rsidP="00CF2ACE">
            <w:pPr>
              <w:pStyle w:val="CRCoverPage"/>
              <w:spacing w:after="0"/>
              <w:ind w:left="100"/>
              <w:rPr>
                <w:lang w:eastAsia="zh-CN"/>
              </w:rPr>
            </w:pPr>
            <w:r>
              <w:rPr>
                <w:rFonts w:hint="eastAsia"/>
                <w:lang w:eastAsia="zh-CN"/>
              </w:rPr>
              <w:t xml:space="preserve">Correction to </w:t>
            </w:r>
            <w:r>
              <w:rPr>
                <w:noProof/>
              </w:rPr>
              <w:t>GROUP_ID_LIST_CHG trigger</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6BAC1F1A" w:rsidR="000915B7" w:rsidRPr="000B61FB" w:rsidRDefault="00697B0C">
            <w:pPr>
              <w:pStyle w:val="CRCoverPage"/>
              <w:spacing w:after="0"/>
              <w:ind w:left="100"/>
            </w:pPr>
            <w:r>
              <w:rPr>
                <w:lang w:eastAsia="zh-CN"/>
              </w:rPr>
              <w:t>TEI17</w:t>
            </w:r>
            <w:r w:rsidR="00E7375B">
              <w:rPr>
                <w:lang w:eastAsia="zh-CN"/>
              </w:rPr>
              <w:t>,</w:t>
            </w:r>
            <w:r w:rsidR="00E7375B" w:rsidRPr="00697B0C">
              <w:rPr>
                <w:lang w:eastAsia="zh-CN"/>
              </w:rPr>
              <w:t xml:space="preserve"> Vertical_LAN</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E14954F" w:rsidR="000915B7" w:rsidRPr="000B61FB" w:rsidRDefault="00185D64" w:rsidP="009F4C09">
            <w:pPr>
              <w:pStyle w:val="CRCoverPage"/>
              <w:spacing w:after="0"/>
              <w:ind w:left="100"/>
            </w:pPr>
            <w:r w:rsidRPr="000B61FB">
              <w:t>202</w:t>
            </w:r>
            <w:r w:rsidR="00737EE3">
              <w:t>2</w:t>
            </w:r>
            <w:r w:rsidRPr="000B61FB">
              <w:t>-</w:t>
            </w:r>
            <w:r w:rsidR="009F4C09">
              <w:t>3</w:t>
            </w:r>
            <w:r w:rsidRPr="000B61FB">
              <w:t>-</w:t>
            </w:r>
            <w:r w:rsidR="009F4C09">
              <w:t>3</w:t>
            </w:r>
            <w:r w:rsidR="00673014">
              <w:t>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944008E" w14:textId="0A18899E" w:rsidR="00CA0D65" w:rsidRDefault="00D45CD6" w:rsidP="00CA0D65">
            <w:pPr>
              <w:pStyle w:val="CRCoverPage"/>
              <w:spacing w:after="0"/>
              <w:ind w:left="100"/>
            </w:pPr>
            <w:r>
              <w:rPr>
                <w:noProof/>
              </w:rPr>
              <w:t>GROUP_ID_LIST_CHG</w:t>
            </w:r>
            <w:r>
              <w:rPr>
                <w:noProof/>
                <w:lang w:eastAsia="zh-CN"/>
              </w:rPr>
              <w:t xml:space="preserve"> trigger is missing from the text that indicates the procedure trigger condition for </w:t>
            </w:r>
            <w:r>
              <w:rPr>
                <w:noProof/>
              </w:rPr>
              <w:t>UE Policy Association modification</w:t>
            </w:r>
            <w:r>
              <w:rPr>
                <w:noProof/>
                <w:lang w:eastAsia="zh-CN"/>
              </w:rPr>
              <w:t>.</w:t>
            </w:r>
          </w:p>
          <w:p w14:paraId="5F47F12E" w14:textId="596AE521" w:rsidR="00CA0D65" w:rsidRPr="00D45CD6" w:rsidRDefault="00CA0D65" w:rsidP="00CA0D6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50D6185C"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201AACF2" w14:textId="4964762E" w:rsidR="00D45CD6" w:rsidRDefault="00D45CD6">
            <w:pPr>
              <w:pStyle w:val="CRCoverPage"/>
              <w:spacing w:after="0"/>
              <w:ind w:left="100"/>
              <w:rPr>
                <w:noProof/>
                <w:lang w:eastAsia="zh-CN"/>
              </w:rPr>
            </w:pPr>
            <w:r>
              <w:rPr>
                <w:rFonts w:hint="eastAsia"/>
                <w:noProof/>
                <w:lang w:eastAsia="zh-CN"/>
              </w:rPr>
              <w:t>4.2.3.1 is updated to clarify:</w:t>
            </w:r>
          </w:p>
          <w:p w14:paraId="52648F4D" w14:textId="2E16A77E" w:rsidR="00CF48AF" w:rsidRDefault="00D45CD6">
            <w:pPr>
              <w:pStyle w:val="CRCoverPage"/>
              <w:spacing w:after="0"/>
              <w:ind w:left="100"/>
              <w:rPr>
                <w:noProof/>
              </w:rPr>
            </w:pPr>
            <w:r>
              <w:rPr>
                <w:noProof/>
              </w:rPr>
              <w:t xml:space="preserve">-When </w:t>
            </w:r>
            <w:r>
              <w:rPr>
                <w:rFonts w:cs="Arial"/>
                <w:noProof/>
                <w:szCs w:val="18"/>
              </w:rPr>
              <w:t xml:space="preserve">the </w:t>
            </w:r>
            <w:r>
              <w:t>"</w:t>
            </w:r>
            <w:r>
              <w:rPr>
                <w:noProof/>
              </w:rPr>
              <w:t>GroupIdListChange</w:t>
            </w:r>
            <w:r>
              <w:t xml:space="preserve">" feature is supported and </w:t>
            </w:r>
            <w:r>
              <w:rPr>
                <w:noProof/>
              </w:rPr>
              <w:t>the UE Internal Group Identifier(s) change trigger occurs, the NF service consumer (AMF) shall always invoke the procedure.</w:t>
            </w:r>
          </w:p>
          <w:p w14:paraId="1E987709" w14:textId="36244C04" w:rsidR="00D45CD6" w:rsidRDefault="00D45CD6">
            <w:pPr>
              <w:pStyle w:val="CRCoverPage"/>
              <w:spacing w:after="0"/>
              <w:ind w:left="100"/>
              <w:rPr>
                <w:noProof/>
              </w:rPr>
            </w:pPr>
            <w:r>
              <w:t>-When</w:t>
            </w:r>
            <w:r w:rsidRPr="00697B0C">
              <w:rPr>
                <w:rFonts w:cs="Arial"/>
                <w:noProof/>
                <w:szCs w:val="18"/>
              </w:rPr>
              <w:t xml:space="preserve"> </w:t>
            </w:r>
            <w:r>
              <w:rPr>
                <w:rFonts w:cs="Arial"/>
                <w:noProof/>
                <w:szCs w:val="18"/>
              </w:rPr>
              <w:t xml:space="preserve">the </w:t>
            </w:r>
            <w:r>
              <w:t>"</w:t>
            </w:r>
            <w:r>
              <w:rPr>
                <w:noProof/>
              </w:rPr>
              <w:t>GroupIdListChange</w:t>
            </w:r>
            <w:r>
              <w:t xml:space="preserve">" feature is supported and </w:t>
            </w:r>
            <w:r>
              <w:rPr>
                <w:noProof/>
              </w:rPr>
              <w:t>the UE Internal Group Identifier(s) change trigger occurs,</w:t>
            </w:r>
            <w:r>
              <w:t xml:space="preserve"> the V-PCF shall always invoke the procedure.</w:t>
            </w:r>
          </w:p>
          <w:p w14:paraId="5F47F134" w14:textId="68DF1CE6" w:rsidR="00D45CD6" w:rsidRPr="00B528DD" w:rsidRDefault="00D45CD6">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1A1ACB0" w:rsidR="000915B7" w:rsidRPr="000B61FB" w:rsidRDefault="00D45CD6" w:rsidP="00D45CD6">
            <w:pPr>
              <w:pStyle w:val="CRCoverPage"/>
              <w:spacing w:after="0"/>
              <w:ind w:left="100"/>
              <w:rPr>
                <w:lang w:eastAsia="zh-CN"/>
              </w:rPr>
            </w:pPr>
            <w:r>
              <w:rPr>
                <w:rFonts w:hint="eastAsia"/>
                <w:lang w:eastAsia="zh-CN"/>
              </w:rPr>
              <w:t>I</w:t>
            </w:r>
            <w:r>
              <w:rPr>
                <w:lang w:eastAsia="zh-CN"/>
              </w:rPr>
              <w:t>n</w:t>
            </w:r>
            <w:r>
              <w:rPr>
                <w:rFonts w:hint="eastAsia"/>
                <w:lang w:eastAsia="zh-CN"/>
              </w:rPr>
              <w:t>complete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2108E607" w:rsidR="000915B7" w:rsidRPr="000B61FB" w:rsidRDefault="00D45CD6">
            <w:pPr>
              <w:pStyle w:val="CRCoverPage"/>
              <w:spacing w:after="0"/>
              <w:ind w:left="100"/>
              <w:rPr>
                <w:lang w:eastAsia="zh-CN"/>
              </w:rPr>
            </w:pPr>
            <w:r>
              <w:rPr>
                <w:noProof/>
                <w:lang w:eastAsia="zh-CN"/>
              </w:rPr>
              <w:t>4.2.3.1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37F14B48" w14:textId="77777777" w:rsidR="009F4C09" w:rsidRDefault="009F4C09" w:rsidP="009F4C09">
      <w:pPr>
        <w:pStyle w:val="4"/>
        <w:rPr>
          <w:noProof/>
        </w:rPr>
      </w:pPr>
      <w:bookmarkStart w:id="2" w:name="_Toc28013386"/>
      <w:bookmarkStart w:id="3" w:name="_Toc34222298"/>
      <w:bookmarkStart w:id="4" w:name="_Toc36040481"/>
      <w:bookmarkStart w:id="5" w:name="_Toc39134410"/>
      <w:bookmarkStart w:id="6" w:name="_Toc43283357"/>
      <w:bookmarkStart w:id="7" w:name="_Toc45134397"/>
      <w:bookmarkStart w:id="8" w:name="_Toc49929997"/>
      <w:bookmarkStart w:id="9" w:name="_Toc50024117"/>
      <w:bookmarkStart w:id="10" w:name="_Toc51763605"/>
      <w:bookmarkStart w:id="11" w:name="_Toc56594469"/>
      <w:bookmarkStart w:id="12" w:name="_Toc67493811"/>
      <w:bookmarkStart w:id="13" w:name="_Toc68169715"/>
      <w:bookmarkStart w:id="14" w:name="_Toc73459323"/>
      <w:bookmarkStart w:id="15" w:name="_Toc73459446"/>
      <w:bookmarkStart w:id="16" w:name="_Toc74742983"/>
      <w:bookmarkStart w:id="17" w:name="_Toc97290209"/>
      <w:r>
        <w:rPr>
          <w:noProof/>
        </w:rPr>
        <w:t>4.2.3.1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EE1E53E" w14:textId="77777777" w:rsidR="009F4C09" w:rsidRDefault="009F4C09" w:rsidP="009F4C09">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7B245E6D" w14:textId="77777777" w:rsidR="009F4C09" w:rsidRDefault="009F4C09" w:rsidP="009F4C09">
      <w:pPr>
        <w:rPr>
          <w:noProof/>
        </w:rPr>
      </w:pPr>
      <w:r>
        <w:rPr>
          <w:noProof/>
        </w:rPr>
        <w:t>Figure 4.2.3.1-1 illustrates the update of a policy association.</w:t>
      </w:r>
    </w:p>
    <w:p w14:paraId="3D4772CF" w14:textId="77777777" w:rsidR="009F4C09" w:rsidRDefault="009F4C09" w:rsidP="009F4C09">
      <w:pPr>
        <w:pStyle w:val="TH"/>
        <w:rPr>
          <w:noProof/>
        </w:rPr>
      </w:pPr>
      <w:r>
        <w:rPr>
          <w:noProof/>
        </w:rPr>
        <w:object w:dxaOrig="9570" w:dyaOrig="3194" w14:anchorId="4BA5E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159.6pt" o:ole="">
            <v:imagedata r:id="rId13" o:title=""/>
          </v:shape>
          <o:OLEObject Type="Embed" ProgID="Visio.Drawing.11" ShapeID="_x0000_i1025" DrawAspect="Content" ObjectID="_1710162425" r:id="rId14"/>
        </w:object>
      </w:r>
    </w:p>
    <w:p w14:paraId="790C48BC" w14:textId="77777777" w:rsidR="009F4C09" w:rsidRDefault="009F4C09" w:rsidP="009F4C09">
      <w:pPr>
        <w:pStyle w:val="TF"/>
        <w:rPr>
          <w:noProof/>
        </w:rPr>
      </w:pPr>
      <w:r>
        <w:rPr>
          <w:noProof/>
        </w:rPr>
        <w:t>Figure 4.2.3.1-1: Update of a UE policy association</w:t>
      </w:r>
    </w:p>
    <w:p w14:paraId="674F56D2" w14:textId="77777777" w:rsidR="009F4C09" w:rsidRDefault="009F4C09" w:rsidP="009F4C09">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69C2A04F" w14:textId="368DCCC7" w:rsidR="009F4C09" w:rsidRDefault="009F4C09" w:rsidP="009F4C09">
      <w:pPr>
        <w:rPr>
          <w:noProof/>
        </w:rPr>
      </w:pPr>
      <w:r>
        <w:rPr>
          <w:noProof/>
        </w:rPr>
        <w:t xml:space="preserve">The AMF, as NF service consumer, invokes this procedure when a subscribed policy control request trigger (see subclause 4.2.3.2) occurs. When the location change trigger, the </w:t>
      </w:r>
      <w:bookmarkStart w:id="18" w:name="_Hlk511046719"/>
      <w:r>
        <w:rPr>
          <w:noProof/>
        </w:rPr>
        <w:t>change of UE presence in PRA</w:t>
      </w:r>
      <w:bookmarkEnd w:id="18"/>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NF service consumer (AMF) shall only invoke this procedure if the PCF has explicitly subscribed to that event trigger.</w:t>
      </w:r>
      <w:r w:rsidRPr="00DD23FD">
        <w:t xml:space="preserve"> </w:t>
      </w:r>
      <w:r>
        <w:t xml:space="preserve">When the UE triggers a policy provisioning request procedure via NAS signalling and the corresponding feature is supported (e.g., the UE requests the provisioning of V2X policies as </w:t>
      </w:r>
      <w:r>
        <w:rPr>
          <w:noProof/>
        </w:rPr>
        <w:t xml:space="preserve">defined in subclause 7.2.1.1 of 3GPP TS 24.587 [24], and the </w:t>
      </w:r>
      <w:r>
        <w:t>"V2X" feature is supported) the NF service consumer (AMF) shall always invoke the procedure.</w:t>
      </w:r>
      <w:r>
        <w:rPr>
          <w:noProof/>
        </w:rPr>
        <w:t xml:space="preserve"> When the UE Capabilities change trigger occurs (the UE indicates updated </w:t>
      </w:r>
      <w:r>
        <w:rPr>
          <w:rFonts w:cs="Arial"/>
          <w:noProof/>
          <w:szCs w:val="18"/>
        </w:rPr>
        <w:t xml:space="preserve">PC5 capability for 5G ProSe) and the </w:t>
      </w:r>
      <w:r>
        <w:t>"ProSe" feature is supported</w:t>
      </w:r>
      <w:r>
        <w:rPr>
          <w:noProof/>
        </w:rPr>
        <w:t>, the NF service consumer (AMF) shall always invoke the procedure.</w:t>
      </w:r>
      <w:ins w:id="19" w:author="zte" w:date="2022-03-23T17:02:00Z">
        <w:r w:rsidRPr="009F4C09">
          <w:rPr>
            <w:noProof/>
          </w:rPr>
          <w:t xml:space="preserve"> </w:t>
        </w:r>
        <w:r>
          <w:rPr>
            <w:noProof/>
          </w:rPr>
          <w:t xml:space="preserve">When </w:t>
        </w:r>
      </w:ins>
      <w:ins w:id="20" w:author="zte" w:date="2022-03-24T15:33:00Z">
        <w:r w:rsidR="00D45CD6">
          <w:rPr>
            <w:rFonts w:cs="Arial"/>
            <w:noProof/>
            <w:szCs w:val="18"/>
          </w:rPr>
          <w:t xml:space="preserve">the </w:t>
        </w:r>
        <w:r w:rsidR="00D45CD6">
          <w:t>"</w:t>
        </w:r>
        <w:r w:rsidR="00D45CD6">
          <w:rPr>
            <w:noProof/>
          </w:rPr>
          <w:t>GroupIdListChange</w:t>
        </w:r>
        <w:r w:rsidR="00D45CD6">
          <w:t xml:space="preserve">" feature is supported and </w:t>
        </w:r>
        <w:r w:rsidR="00D45CD6">
          <w:rPr>
            <w:noProof/>
          </w:rPr>
          <w:t>the UE Internal Group Identifier(s) change trigger occurs</w:t>
        </w:r>
      </w:ins>
      <w:ins w:id="21" w:author="zte" w:date="2022-03-23T17:02:00Z">
        <w:r>
          <w:rPr>
            <w:noProof/>
          </w:rPr>
          <w:t>, the NF service consumer (AMF) shall always invoke the procedure.</w:t>
        </w:r>
      </w:ins>
    </w:p>
    <w:p w14:paraId="6A8CF7B9" w14:textId="77777777" w:rsidR="009F4C09" w:rsidRDefault="009F4C09" w:rsidP="009F4C09">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w:t>
      </w:r>
    </w:p>
    <w:p w14:paraId="3D086C2B" w14:textId="77777777" w:rsidR="009F4C09" w:rsidRDefault="009F4C09" w:rsidP="009F4C09">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072A800C" w14:textId="77777777" w:rsidR="009F4C09" w:rsidRDefault="009F4C09" w:rsidP="009F4C09">
      <w:pPr>
        <w:pStyle w:val="NO"/>
        <w:rPr>
          <w:noProof/>
        </w:rPr>
      </w:pPr>
      <w:r>
        <w:t>NOTE 3:</w:t>
      </w:r>
      <w:r>
        <w:tab/>
        <w:t>Either the old or the new AMF can invoke this procedure.</w:t>
      </w:r>
    </w:p>
    <w:p w14:paraId="047EF859" w14:textId="77777777" w:rsidR="009F4C09" w:rsidRDefault="009F4C09" w:rsidP="009F4C09">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160A1359" w14:textId="59B23F38" w:rsidR="009F4C09" w:rsidRDefault="009F4C09" w:rsidP="009F4C09">
      <w:r>
        <w:t xml:space="preserve">The V-PCF, as NF service consumer, invokes this procedure when a policy control request trigger (see subclause 4.2.3.2) occurs. When the "UE_POLICY" trigger occurs, </w:t>
      </w:r>
      <w:ins w:id="22" w:author="zte" w:date="2022-03-24T15:33:00Z">
        <w:r w:rsidR="00697B0C">
          <w:t>and/or</w:t>
        </w:r>
        <w:r w:rsidR="00697B0C" w:rsidRPr="00697B0C">
          <w:rPr>
            <w:rFonts w:cs="Arial"/>
            <w:noProof/>
            <w:szCs w:val="18"/>
          </w:rPr>
          <w:t xml:space="preserve"> </w:t>
        </w:r>
        <w:r w:rsidR="00697B0C">
          <w:rPr>
            <w:rFonts w:cs="Arial"/>
            <w:noProof/>
            <w:szCs w:val="18"/>
          </w:rPr>
          <w:t xml:space="preserve">the </w:t>
        </w:r>
        <w:r w:rsidR="00697B0C">
          <w:t>"</w:t>
        </w:r>
        <w:r w:rsidR="00697B0C">
          <w:rPr>
            <w:noProof/>
          </w:rPr>
          <w:t>GroupIdListChange</w:t>
        </w:r>
        <w:r w:rsidR="00697B0C">
          <w:t xml:space="preserve">" feature is supported and </w:t>
        </w:r>
        <w:r w:rsidR="00697B0C">
          <w:rPr>
            <w:noProof/>
          </w:rPr>
          <w:t>the UE Internal Group Identifier(s) change trigger occurs,</w:t>
        </w:r>
        <w:r w:rsidR="00697B0C">
          <w:t xml:space="preserve"> </w:t>
        </w:r>
      </w:ins>
      <w:r>
        <w:t>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this procedure if the H</w:t>
      </w:r>
      <w:r>
        <w:noBreakHyphen/>
        <w:t>PCF has subscribed to that event trigger.</w:t>
      </w:r>
    </w:p>
    <w:p w14:paraId="1B950CD5" w14:textId="77777777" w:rsidR="009F4C09" w:rsidRDefault="009F4C09" w:rsidP="009F4C09">
      <w:pPr>
        <w:rPr>
          <w:noProof/>
        </w:rPr>
      </w:pPr>
      <w:r>
        <w:rPr>
          <w:noProof/>
        </w:rPr>
        <w:lastRenderedPageBreak/>
        <w:t xml:space="preserve">To request policies (e.g. policy control request trigger(s) is/are met) from the PCF, to update the Notification URI,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401A1681" w14:textId="77777777" w:rsidR="009F4C09" w:rsidRDefault="009F4C09" w:rsidP="009F4C09">
      <w:pPr>
        <w:pStyle w:val="B1"/>
        <w:rPr>
          <w:noProof/>
        </w:rPr>
      </w:pPr>
      <w:r>
        <w:rPr>
          <w:noProof/>
        </w:rPr>
        <w:t>-</w:t>
      </w:r>
      <w:r>
        <w:rPr>
          <w:noProof/>
        </w:rPr>
        <w:tab/>
        <w:t>at least one of the following:</w:t>
      </w:r>
    </w:p>
    <w:p w14:paraId="43DE2582" w14:textId="77777777" w:rsidR="009F4C09" w:rsidRDefault="009F4C09" w:rsidP="009F4C09">
      <w:pPr>
        <w:pStyle w:val="B2"/>
        <w:rPr>
          <w:noProof/>
        </w:rPr>
      </w:pPr>
      <w:r>
        <w:rPr>
          <w:noProof/>
        </w:rPr>
        <w:t>1.</w:t>
      </w:r>
      <w:r>
        <w:rPr>
          <w:noProof/>
        </w:rPr>
        <w:tab/>
        <w:t>a new Notification URI encoded in the "notificationUri" attribute;</w:t>
      </w:r>
    </w:p>
    <w:p w14:paraId="3C51D37A" w14:textId="77777777" w:rsidR="009F4C09" w:rsidRDefault="009F4C09" w:rsidP="009F4C09">
      <w:pPr>
        <w:pStyle w:val="B2"/>
        <w:rPr>
          <w:noProof/>
        </w:rPr>
      </w:pPr>
      <w:r>
        <w:rPr>
          <w:noProof/>
        </w:rPr>
        <w:t>2.</w:t>
      </w:r>
      <w:r>
        <w:rPr>
          <w:noProof/>
        </w:rPr>
        <w:tab/>
        <w:t>observed Policy Control Request Trigger(s) (see subclause 4.2.3.2) encoded as "triggers" attribute;</w:t>
      </w:r>
    </w:p>
    <w:p w14:paraId="2A2AD4B3" w14:textId="77777777" w:rsidR="009F4C09" w:rsidRDefault="009F4C09" w:rsidP="009F4C09">
      <w:pPr>
        <w:pStyle w:val="B2"/>
        <w:rPr>
          <w:noProof/>
        </w:rPr>
      </w:pPr>
      <w:r>
        <w:rPr>
          <w:noProof/>
        </w:rPr>
        <w:t>3.</w:t>
      </w:r>
      <w:r>
        <w:rPr>
          <w:noProof/>
        </w:rPr>
        <w:tab/>
        <w:t>if a UE location change occurred, the UE location encoded as "userLoc" attribute;</w:t>
      </w:r>
    </w:p>
    <w:p w14:paraId="482EA7A6" w14:textId="77777777" w:rsidR="009F4C09" w:rsidRDefault="009F4C09" w:rsidP="009F4C09">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40E2763A" w14:textId="77777777" w:rsidR="009F4C09" w:rsidRDefault="009F4C09" w:rsidP="009F4C09">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ADE70A0" w14:textId="77777777" w:rsidR="009F4C09" w:rsidRDefault="009F4C09" w:rsidP="009F4C09">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529396FF" w14:textId="77777777" w:rsidR="009F4C09" w:rsidRDefault="009F4C09" w:rsidP="009F4C09">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03148B8F" w14:textId="77777777" w:rsidR="009F4C09" w:rsidRDefault="009F4C09" w:rsidP="009F4C09">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463A9509" w14:textId="77777777" w:rsidR="009F4C09" w:rsidRDefault="009F4C09" w:rsidP="009F4C09">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50745AEE" w14:textId="77777777" w:rsidR="009F4C09" w:rsidRDefault="009F4C09" w:rsidP="009F4C09">
      <w:pPr>
        <w:pStyle w:val="B2"/>
        <w:rPr>
          <w:noProof/>
        </w:rPr>
      </w:pPr>
      <w:r>
        <w:rPr>
          <w:noProof/>
        </w:rPr>
        <w:t xml:space="preserve">9.  for AMF relocation scenarios,  the GUAMI encoded as "guami" attribute; </w:t>
      </w:r>
    </w:p>
    <w:p w14:paraId="1AD13315" w14:textId="77777777" w:rsidR="009F4C09" w:rsidRDefault="009F4C09" w:rsidP="009F4C09">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66A15F34" w14:textId="77777777" w:rsidR="009F4C09" w:rsidRDefault="009F4C09" w:rsidP="009F4C09">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57CE3F08" w14:textId="77777777" w:rsidR="009F4C09" w:rsidRDefault="009F4C09" w:rsidP="009F4C09">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subclause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1E54FA63" w14:textId="77777777" w:rsidR="009F4C09" w:rsidRDefault="009F4C09" w:rsidP="009F4C09">
      <w:pPr>
        <w:pStyle w:val="NO"/>
      </w:pPr>
      <w:r w:rsidRPr="00B07AF9">
        <w:t>NOTE</w:t>
      </w:r>
      <w:r>
        <w:t> 6</w:t>
      </w:r>
      <w:r w:rsidRPr="00B07AF9">
        <w:t>:</w:t>
      </w:r>
      <w:r>
        <w:tab/>
      </w:r>
      <w:r w:rsidRPr="00DC0E62">
        <w:t>The SNPN Identifier consists of the PLMN Identifier and the NID.</w:t>
      </w:r>
      <w:r>
        <w:rPr>
          <w:noProof/>
        </w:rPr>
        <w:t xml:space="preserve"> </w:t>
      </w:r>
    </w:p>
    <w:p w14:paraId="3D1671B2" w14:textId="77777777" w:rsidR="009F4C09" w:rsidRDefault="009F4C09" w:rsidP="009F4C09">
      <w:pPr>
        <w:ind w:left="851" w:hanging="284"/>
      </w:pPr>
      <w:r>
        <w:rPr>
          <w:noProof/>
        </w:rPr>
        <w:t>12. if a "</w:t>
      </w:r>
      <w:r>
        <w:t>UE POLICY PROVISIONING REQUEST" message</w:t>
      </w:r>
      <w:r>
        <w:rPr>
          <w:noProof/>
        </w:rPr>
        <w:t xml:space="preserve"> defined in subclause 7.2.1.1 of 3GPP TS 24.587 [24] has been received by</w:t>
      </w:r>
      <w:r w:rsidRPr="00D021DE">
        <w:rPr>
          <w:noProof/>
        </w:rPr>
        <w:t xml:space="preserve"> </w:t>
      </w:r>
      <w:r>
        <w:rPr>
          <w:noProof/>
        </w:rPr>
        <w:t>the AMF</w:t>
      </w:r>
      <w:r w:rsidRPr="00A738E5">
        <w:rPr>
          <w:noProof/>
        </w:rPr>
        <w:t xml:space="preserve"> </w:t>
      </w:r>
      <w:r>
        <w:rPr>
          <w:noProof/>
        </w:rPr>
        <w:t xml:space="preserve">via NAS transport signalling as specified in 3GPP TS 24.501 [15] from the UE in a UE policy container, or by the V-PCF as NF service consumer and respectively the "V2X" feature and/or the "ProSe" feature defined in subclause 5.8 is/are  supported, the message encoded as "uePolReq" attribute;  </w:t>
      </w:r>
    </w:p>
    <w:p w14:paraId="21148951" w14:textId="77777777" w:rsidR="009F4C09" w:rsidRDefault="009F4C09" w:rsidP="009F4C09">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subclause 5.8 is supported, the </w:t>
      </w:r>
      <w:r>
        <w:rPr>
          <w:rFonts w:cs="Arial"/>
          <w:noProof/>
          <w:szCs w:val="18"/>
        </w:rPr>
        <w:t>Internal Group Identifier(s) of the served UE</w:t>
      </w:r>
      <w:r>
        <w:rPr>
          <w:noProof/>
        </w:rPr>
        <w:t xml:space="preserve"> encoded as "groupIds" attribute; and/or</w:t>
      </w:r>
    </w:p>
    <w:p w14:paraId="2BE49F20" w14:textId="77777777" w:rsidR="009F4C09" w:rsidRDefault="009F4C09" w:rsidP="009F4C09">
      <w:pPr>
        <w:pStyle w:val="B2"/>
        <w:rPr>
          <w:noProof/>
        </w:rPr>
      </w:pPr>
      <w:r>
        <w:rPr>
          <w:noProof/>
        </w:rPr>
        <w:t>14.</w:t>
      </w:r>
      <w:r>
        <w:rPr>
          <w:noProof/>
        </w:rPr>
        <w:tab/>
        <w:t>if a change of PC5 capablity for 5G ProSe occurred and the "</w:t>
      </w:r>
      <w:r>
        <w:rPr>
          <w:lang w:val="en-US"/>
        </w:rPr>
        <w:t>ProSe</w:t>
      </w:r>
      <w:r>
        <w:rPr>
          <w:noProof/>
        </w:rPr>
        <w:t xml:space="preserve">" feature defined in subclause 5.8 is supported, the </w:t>
      </w:r>
      <w:r>
        <w:rPr>
          <w:rFonts w:cs="Arial"/>
          <w:noProof/>
          <w:szCs w:val="18"/>
        </w:rPr>
        <w:t>PC5 capability for 5G ProSe</w:t>
      </w:r>
      <w:r>
        <w:rPr>
          <w:noProof/>
        </w:rPr>
        <w:t xml:space="preserve"> encoded as "proSeCapab" attribute.</w:t>
      </w:r>
      <w:r w:rsidRPr="000B6B35">
        <w:rPr>
          <w:noProof/>
        </w:rPr>
        <w:t xml:space="preserve"> </w:t>
      </w:r>
    </w:p>
    <w:p w14:paraId="7CB95907" w14:textId="77777777" w:rsidR="009F4C09" w:rsidRDefault="009F4C09" w:rsidP="009F4C09">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subclause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6D99498A" w14:textId="77777777" w:rsidR="009F4C09" w:rsidRDefault="009F4C09" w:rsidP="009F4C09">
      <w:pPr>
        <w:pStyle w:val="B2"/>
        <w:rPr>
          <w:noProof/>
        </w:rPr>
      </w:pPr>
      <w:r>
        <w:rPr>
          <w:noProof/>
        </w:rPr>
        <w:t>16.</w:t>
      </w:r>
      <w:r>
        <w:rPr>
          <w:noProof/>
        </w:rPr>
        <w:tab/>
        <w:t xml:space="preserve">when </w:t>
      </w:r>
      <w:r>
        <w:rPr>
          <w:noProof/>
          <w:lang w:eastAsia="zh-CN"/>
        </w:rPr>
        <w:t>a</w:t>
      </w:r>
      <w:r>
        <w:t xml:space="preserve"> response with HTTP status code 4xx or 5xx as defined in subclause 5.2.2.3.1.2 of 3GPP TS 29.518 [14] or a N1N2 Transfer Failure Notification as defined in subclause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2CA737D5" w14:textId="77777777" w:rsidR="009F4C09" w:rsidRDefault="009F4C09" w:rsidP="009F4C09">
      <w:pPr>
        <w:rPr>
          <w:noProof/>
        </w:rPr>
      </w:pPr>
      <w:r>
        <w:rPr>
          <w:noProof/>
        </w:rPr>
        <w:t>Upon the reception of the HTTP POST request:</w:t>
      </w:r>
    </w:p>
    <w:p w14:paraId="2615B43B" w14:textId="77777777" w:rsidR="009F4C09" w:rsidRDefault="009F4C09" w:rsidP="009F4C09">
      <w:pPr>
        <w:pStyle w:val="B1"/>
        <w:rPr>
          <w:noProof/>
        </w:rPr>
      </w:pPr>
      <w:r>
        <w:rPr>
          <w:noProof/>
        </w:rPr>
        <w:t>-</w:t>
      </w:r>
      <w:r>
        <w:rPr>
          <w:noProof/>
        </w:rPr>
        <w:tab/>
        <w:t>if the PCF is a V-PCF and the V-PCF has an established policy association with the H-PCF,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29B00AB6" w14:textId="77777777" w:rsidR="009F4C09" w:rsidRDefault="009F4C09" w:rsidP="009F4C09">
      <w:pPr>
        <w:pStyle w:val="B1"/>
        <w:rPr>
          <w:noProof/>
        </w:rPr>
      </w:pPr>
      <w:r>
        <w:rPr>
          <w:noProof/>
        </w:rPr>
        <w:t>-</w:t>
      </w:r>
      <w:r>
        <w:rPr>
          <w:noProof/>
        </w:rPr>
        <w:tab/>
        <w:t>the (V-)(H-)PCF shall determine the applicable UE policy based on the information received within the UE policy delivery protocol encoded in the "uePolReq" attribute, if available, local policy and for the V-PCF taking into consideration any policy received from the H-PCF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6197A256" w14:textId="77777777" w:rsidR="009F4C09" w:rsidRDefault="009F4C09" w:rsidP="009F4C09">
      <w:pPr>
        <w:pStyle w:val="B1"/>
        <w:rPr>
          <w:noProof/>
        </w:rPr>
      </w:pPr>
      <w:r>
        <w:rPr>
          <w:rFonts w:hint="eastAsia"/>
          <w:noProof/>
          <w:lang w:eastAsia="zh-CN"/>
        </w:rPr>
        <w:t>-</w:t>
      </w:r>
      <w:r>
        <w:rPr>
          <w:noProof/>
          <w:lang w:eastAsia="zh-CN"/>
        </w:rPr>
        <w:tab/>
        <w:t>if the UE indicates the support of 5G ProSe communications over PC5 reference point, the "ProSe" feature is supported, and the UE POLICY PROVISIONING REQUEST message</w:t>
      </w:r>
      <w:r>
        <w:rPr>
          <w:noProof/>
        </w:rPr>
        <w:t xml:space="preserve"> with the requested 5G ProSe policies was included in the "uePolReq" attribute, the (H-)PCF shall determine the applicable ProSeP and 5G ProSe N2 PC5 policy, as detailed in subclauses 4.2.2.2.1.3 and 4.2.2.4, based on the operator’s policy;</w:t>
      </w:r>
    </w:p>
    <w:p w14:paraId="113B9C41" w14:textId="77777777" w:rsidR="009F4C09" w:rsidRDefault="009F4C09" w:rsidP="009F4C09">
      <w:pPr>
        <w:pStyle w:val="B1"/>
        <w:rPr>
          <w:noProof/>
        </w:rPr>
      </w:pPr>
      <w:r>
        <w:rPr>
          <w:noProof/>
        </w:rPr>
        <w:t>-</w:t>
      </w:r>
      <w:r>
        <w:rPr>
          <w:noProof/>
        </w:rPr>
        <w:tab/>
        <w:t>i</w:t>
      </w:r>
      <w:r>
        <w:rPr>
          <w:noProof/>
          <w:lang w:eastAsia="zh-CN"/>
        </w:rPr>
        <w:t>f the UE indicated the support of V2X communications over PC5 reference point, "V2X" feature is supported, and the UE POLICY PROVISIONING REQUEST message</w:t>
      </w:r>
      <w:r>
        <w:rPr>
          <w:noProof/>
        </w:rPr>
        <w:t xml:space="preserve"> was included in the "uePolReq" attribute, the (H-)PCF shall determine the applicable V2XP and V2X N2 PC5 policy as detailed in subclauses 4.2.2.2.1.2 and 4.2.2.3, based on the operator’s policy;</w:t>
      </w:r>
    </w:p>
    <w:p w14:paraId="36E62961" w14:textId="77777777" w:rsidR="009F4C09" w:rsidRDefault="009F4C09" w:rsidP="009F4C09">
      <w:pPr>
        <w:pStyle w:val="B1"/>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subclause 4.2.2.4, N2 PC5 policy for V2X communications and/or 5G ProSe (for the H-PCF) as specified in subclause 4.2.2.3 and/or Policy Control Request Trigger(s) encoded as described in subclause 4.2.3.3; </w:t>
      </w:r>
    </w:p>
    <w:p w14:paraId="36CE37D2" w14:textId="77777777" w:rsidR="009F4C09" w:rsidRDefault="009F4C09" w:rsidP="009F4C09">
      <w:pPr>
        <w:pStyle w:val="B1"/>
      </w:pPr>
      <w:r>
        <w:t>-</w:t>
      </w:r>
      <w:r>
        <w:tab/>
        <w:t>if the (V-)PCF determines that UE policy needs to be updated, it shall use the Namf_Communication service specified in 3GPP TS 29.518 [14] to provision the UE policy according to subclause 4.2.2.2 and as follows:</w:t>
      </w:r>
    </w:p>
    <w:p w14:paraId="20403501" w14:textId="77777777" w:rsidR="009F4C09" w:rsidRDefault="009F4C09" w:rsidP="009F4C09">
      <w:pPr>
        <w:pStyle w:val="B2"/>
        <w:rPr>
          <w:lang w:eastAsia="ko-KR"/>
        </w:rPr>
      </w:pPr>
      <w:r>
        <w:t>(i)</w:t>
      </w:r>
      <w:r>
        <w:tab/>
        <w:t xml:space="preserve">the (V-)PCF shall send the determined UE policy using </w:t>
      </w:r>
      <w:r>
        <w:rPr>
          <w:lang w:eastAsia="ko-KR"/>
        </w:rPr>
        <w:t>Namf_Communication_N1N2MessageTransfer service operation(s); and</w:t>
      </w:r>
    </w:p>
    <w:p w14:paraId="5A3E264D" w14:textId="77777777" w:rsidR="009F4C09" w:rsidRDefault="009F4C09" w:rsidP="009F4C09">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1D5047FE" w14:textId="77777777" w:rsidR="009F4C09" w:rsidRDefault="009F4C09" w:rsidP="009F4C09">
      <w:pPr>
        <w:pStyle w:val="B2"/>
      </w:pPr>
      <w:r>
        <w:rPr>
          <w:rFonts w:eastAsia="宋体"/>
          <w:lang w:val="en-US"/>
        </w:rPr>
        <w:t>NOTE 7:</w:t>
      </w:r>
      <w:r>
        <w:rPr>
          <w:rFonts w:eastAsia="宋体"/>
          <w:lang w:val="en-US"/>
        </w:rPr>
        <w:tab/>
        <w:t xml:space="preserve">A </w:t>
      </w:r>
      <w:r>
        <w:rPr>
          <w:rFonts w:eastAsia="宋体"/>
          <w:lang w:val="en-US" w:eastAsia="zh-CN"/>
        </w:rPr>
        <w:t>PolicyUpdate</w:t>
      </w:r>
      <w:r>
        <w:rPr>
          <w:rFonts w:eastAsia="宋体"/>
          <w:lang w:val="en-US"/>
        </w:rPr>
        <w:t xml:space="preserve"> data structure with only mandatory attribute(s) is included in the "200 OK" response when the PCF decides not to update the policies.</w:t>
      </w:r>
      <w:r>
        <w:t xml:space="preserve"> </w:t>
      </w:r>
    </w:p>
    <w:p w14:paraId="2BE6A3F5" w14:textId="77777777" w:rsidR="009F4C09" w:rsidRDefault="009F4C09" w:rsidP="009F4C09">
      <w:pPr>
        <w:pStyle w:val="B1"/>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subclauses 4.2.2.2.1.2 and 4.2.2.3;</w:t>
      </w:r>
      <w:r w:rsidRPr="00AC2B47">
        <w:rPr>
          <w:noProof/>
        </w:rPr>
        <w:t xml:space="preserve"> </w:t>
      </w:r>
    </w:p>
    <w:p w14:paraId="4A2CA8D3" w14:textId="77777777" w:rsidR="009F4C09" w:rsidRDefault="009F4C09" w:rsidP="009F4C09">
      <w:pPr>
        <w:pStyle w:val="B1"/>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w:t>
      </w:r>
      <w:r>
        <w:lastRenderedPageBreak/>
        <w:t xml:space="preserve">Namf_Communication service specified in 3GPP TS 29.518 [14] to provision the ProSeP to the UE and 5G ProSe </w:t>
      </w:r>
      <w:r>
        <w:rPr>
          <w:noProof/>
        </w:rPr>
        <w:t>N2 PC5</w:t>
      </w:r>
      <w:r>
        <w:t xml:space="preserve"> </w:t>
      </w:r>
      <w:r>
        <w:rPr>
          <w:noProof/>
        </w:rPr>
        <w:t>policy</w:t>
      </w:r>
      <w:r>
        <w:t xml:space="preserve"> to NG-RAN according to subclauses 4.2.2.2.1.3 and 4.2.2.4;</w:t>
      </w:r>
    </w:p>
    <w:p w14:paraId="2E5570AF" w14:textId="77777777" w:rsidR="009F4C09" w:rsidRDefault="009F4C09" w:rsidP="009F4C09">
      <w:pPr>
        <w:pStyle w:val="B1"/>
      </w:pPr>
      <w:r>
        <w:rPr>
          <w:noProof/>
        </w:rPr>
        <w:t>-</w:t>
      </w:r>
      <w:r>
        <w:rPr>
          <w:noProof/>
        </w:rPr>
        <w:tab/>
      </w:r>
      <w:r>
        <w:t>if errors occur when processing the HTTP POST request, the (V-)(H-)PCF shall:</w:t>
      </w:r>
    </w:p>
    <w:p w14:paraId="1ED0AEBC" w14:textId="77777777" w:rsidR="009F4C09" w:rsidRDefault="009F4C09" w:rsidP="009F4C09">
      <w:pPr>
        <w:pStyle w:val="B2"/>
        <w:rPr>
          <w:noProof/>
        </w:rPr>
      </w:pPr>
      <w:r>
        <w:t>-</w:t>
      </w:r>
      <w:r>
        <w:tab/>
        <w:t>send an HTTP error response as specified in subclause 5.7; or</w:t>
      </w:r>
    </w:p>
    <w:p w14:paraId="46CC2EE0" w14:textId="77777777" w:rsidR="009F4C09" w:rsidRDefault="009F4C09" w:rsidP="009F4C09">
      <w:pPr>
        <w:pStyle w:val="B2"/>
      </w:pPr>
      <w:r>
        <w:t>-</w:t>
      </w:r>
      <w:r>
        <w:tab/>
        <w:t xml:space="preserve">if the feature "ES3XX" is supported, and the </w:t>
      </w:r>
      <w:bookmarkStart w:id="23" w:name="_Hlk72920186"/>
      <w:r>
        <w:t xml:space="preserve">(V-)(H-)PCF </w:t>
      </w:r>
      <w:bookmarkEnd w:id="23"/>
      <w:r>
        <w:t>determines the received HTTP POST request needs to be redirected, send an HTTP redirect response as specified in subclause 6.10.9 of 3GPP TS 29.500 [5];</w:t>
      </w:r>
    </w:p>
    <w:p w14:paraId="222F1348" w14:textId="77777777" w:rsidR="009F4C09" w:rsidRDefault="009F4C09" w:rsidP="009F4C09">
      <w:pPr>
        <w:pStyle w:val="B2"/>
        <w:rPr>
          <w:noProof/>
        </w:rPr>
      </w:pPr>
      <w:r>
        <w:t>according to the following provisions:</w:t>
      </w:r>
    </w:p>
    <w:p w14:paraId="030364B6" w14:textId="77777777" w:rsidR="009F4C09" w:rsidRDefault="009F4C09" w:rsidP="009F4C09">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35AB8A99" w14:textId="226A97F5" w:rsidR="009F4C09" w:rsidRDefault="009F4C09" w:rsidP="009F4C09">
      <w:pPr>
        <w:rPr>
          <w:noProof/>
        </w:rPr>
      </w:pPr>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D9870" w14:textId="77777777" w:rsidR="002039B0" w:rsidRDefault="002039B0">
      <w:r>
        <w:separator/>
      </w:r>
    </w:p>
  </w:endnote>
  <w:endnote w:type="continuationSeparator" w:id="0">
    <w:p w14:paraId="6B645CA9" w14:textId="77777777" w:rsidR="002039B0" w:rsidRDefault="00203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E028D" w14:textId="77777777" w:rsidR="002039B0" w:rsidRDefault="002039B0">
      <w:r>
        <w:separator/>
      </w:r>
    </w:p>
  </w:footnote>
  <w:footnote w:type="continuationSeparator" w:id="0">
    <w:p w14:paraId="31302D6C" w14:textId="77777777" w:rsidR="002039B0" w:rsidRDefault="002039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4D5672" w:rsidRDefault="004D56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4D5672" w:rsidRDefault="004D56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4D5672" w:rsidRDefault="004D56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4D5672" w:rsidRDefault="004D56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9"/>
  </w:num>
  <w:num w:numId="6">
    <w:abstractNumId w:val="19"/>
  </w:num>
  <w:num w:numId="7">
    <w:abstractNumId w:val="3"/>
  </w:num>
  <w:num w:numId="8">
    <w:abstractNumId w:val="14"/>
  </w:num>
  <w:num w:numId="9">
    <w:abstractNumId w:val="0"/>
  </w:num>
  <w:num w:numId="10">
    <w:abstractNumId w:val="12"/>
  </w:num>
  <w:num w:numId="11">
    <w:abstractNumId w:val="38"/>
  </w:num>
  <w:num w:numId="12">
    <w:abstractNumId w:val="43"/>
  </w:num>
  <w:num w:numId="13">
    <w:abstractNumId w:val="41"/>
  </w:num>
  <w:num w:numId="14">
    <w:abstractNumId w:val="20"/>
  </w:num>
  <w:num w:numId="15">
    <w:abstractNumId w:val="7"/>
  </w:num>
  <w:num w:numId="16">
    <w:abstractNumId w:val="10"/>
  </w:num>
  <w:num w:numId="17">
    <w:abstractNumId w:val="24"/>
  </w:num>
  <w:num w:numId="18">
    <w:abstractNumId w:val="4"/>
  </w:num>
  <w:num w:numId="19">
    <w:abstractNumId w:val="37"/>
  </w:num>
  <w:num w:numId="20">
    <w:abstractNumId w:val="25"/>
  </w:num>
  <w:num w:numId="21">
    <w:abstractNumId w:val="17"/>
  </w:num>
  <w:num w:numId="22">
    <w:abstractNumId w:val="36"/>
  </w:num>
  <w:num w:numId="23">
    <w:abstractNumId w:val="11"/>
  </w:num>
  <w:num w:numId="24">
    <w:abstractNumId w:val="45"/>
  </w:num>
  <w:num w:numId="25">
    <w:abstractNumId w:val="26"/>
  </w:num>
  <w:num w:numId="26">
    <w:abstractNumId w:val="30"/>
  </w:num>
  <w:num w:numId="27">
    <w:abstractNumId w:val="32"/>
  </w:num>
  <w:num w:numId="28">
    <w:abstractNumId w:val="21"/>
  </w:num>
  <w:num w:numId="29">
    <w:abstractNumId w:val="13"/>
  </w:num>
  <w:num w:numId="30">
    <w:abstractNumId w:val="15"/>
  </w:num>
  <w:num w:numId="31">
    <w:abstractNumId w:val="22"/>
  </w:num>
  <w:num w:numId="32">
    <w:abstractNumId w:val="9"/>
  </w:num>
  <w:num w:numId="33">
    <w:abstractNumId w:val="34"/>
  </w:num>
  <w:num w:numId="34">
    <w:abstractNumId w:val="33"/>
  </w:num>
  <w:num w:numId="35">
    <w:abstractNumId w:val="18"/>
  </w:num>
  <w:num w:numId="36">
    <w:abstractNumId w:val="27"/>
  </w:num>
  <w:num w:numId="37">
    <w:abstractNumId w:val="28"/>
  </w:num>
  <w:num w:numId="38">
    <w:abstractNumId w:val="29"/>
  </w:num>
  <w:num w:numId="39">
    <w:abstractNumId w:val="8"/>
  </w:num>
  <w:num w:numId="40">
    <w:abstractNumId w:val="35"/>
  </w:num>
  <w:num w:numId="41">
    <w:abstractNumId w:val="16"/>
  </w:num>
  <w:num w:numId="42">
    <w:abstractNumId w:val="40"/>
  </w:num>
  <w:num w:numId="43">
    <w:abstractNumId w:val="23"/>
  </w:num>
  <w:num w:numId="44">
    <w:abstractNumId w:val="5"/>
  </w:num>
  <w:num w:numId="45">
    <w:abstractNumId w:val="6"/>
  </w:num>
  <w:num w:numId="46">
    <w:abstractNumId w:val="42"/>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04C2B"/>
    <w:rsid w:val="00054355"/>
    <w:rsid w:val="00062941"/>
    <w:rsid w:val="00066ABC"/>
    <w:rsid w:val="000915B7"/>
    <w:rsid w:val="00093F42"/>
    <w:rsid w:val="000A15BE"/>
    <w:rsid w:val="000B61FB"/>
    <w:rsid w:val="000B67EA"/>
    <w:rsid w:val="000E7E92"/>
    <w:rsid w:val="001055F1"/>
    <w:rsid w:val="001056C6"/>
    <w:rsid w:val="00111D3A"/>
    <w:rsid w:val="001403B0"/>
    <w:rsid w:val="0015728A"/>
    <w:rsid w:val="001776D5"/>
    <w:rsid w:val="00184FCE"/>
    <w:rsid w:val="00185D64"/>
    <w:rsid w:val="0019110C"/>
    <w:rsid w:val="001B286E"/>
    <w:rsid w:val="001C1F41"/>
    <w:rsid w:val="001E2423"/>
    <w:rsid w:val="001F20D9"/>
    <w:rsid w:val="002039B0"/>
    <w:rsid w:val="0021194E"/>
    <w:rsid w:val="0022181A"/>
    <w:rsid w:val="0022599B"/>
    <w:rsid w:val="002262A6"/>
    <w:rsid w:val="00240789"/>
    <w:rsid w:val="00243BFC"/>
    <w:rsid w:val="0026472A"/>
    <w:rsid w:val="00270FAF"/>
    <w:rsid w:val="00276912"/>
    <w:rsid w:val="00282711"/>
    <w:rsid w:val="002B1AAD"/>
    <w:rsid w:val="002E5227"/>
    <w:rsid w:val="00305A69"/>
    <w:rsid w:val="00316021"/>
    <w:rsid w:val="0034295A"/>
    <w:rsid w:val="00353B37"/>
    <w:rsid w:val="00354E40"/>
    <w:rsid w:val="003F06AE"/>
    <w:rsid w:val="003F13FF"/>
    <w:rsid w:val="0040439F"/>
    <w:rsid w:val="00413910"/>
    <w:rsid w:val="0043766B"/>
    <w:rsid w:val="00440CE3"/>
    <w:rsid w:val="00457152"/>
    <w:rsid w:val="00482F07"/>
    <w:rsid w:val="0049431C"/>
    <w:rsid w:val="004D5672"/>
    <w:rsid w:val="004F2E82"/>
    <w:rsid w:val="005564B2"/>
    <w:rsid w:val="00563999"/>
    <w:rsid w:val="0059170F"/>
    <w:rsid w:val="00592A06"/>
    <w:rsid w:val="005C2AFA"/>
    <w:rsid w:val="005C79D8"/>
    <w:rsid w:val="005C7C7C"/>
    <w:rsid w:val="00610A36"/>
    <w:rsid w:val="00650E7F"/>
    <w:rsid w:val="006514C2"/>
    <w:rsid w:val="00657B2D"/>
    <w:rsid w:val="00673014"/>
    <w:rsid w:val="00697B0C"/>
    <w:rsid w:val="006A45E7"/>
    <w:rsid w:val="006B655F"/>
    <w:rsid w:val="006D3033"/>
    <w:rsid w:val="006D4441"/>
    <w:rsid w:val="006F46E0"/>
    <w:rsid w:val="00703565"/>
    <w:rsid w:val="00704F3C"/>
    <w:rsid w:val="00717DB2"/>
    <w:rsid w:val="00737EE3"/>
    <w:rsid w:val="00743397"/>
    <w:rsid w:val="00761CB9"/>
    <w:rsid w:val="00775F51"/>
    <w:rsid w:val="00785313"/>
    <w:rsid w:val="007B1279"/>
    <w:rsid w:val="007C1DDF"/>
    <w:rsid w:val="007D2A31"/>
    <w:rsid w:val="007F1A9C"/>
    <w:rsid w:val="007F7A7D"/>
    <w:rsid w:val="00811EAA"/>
    <w:rsid w:val="00823F39"/>
    <w:rsid w:val="00885C3E"/>
    <w:rsid w:val="00893A10"/>
    <w:rsid w:val="008B02B5"/>
    <w:rsid w:val="008B2A92"/>
    <w:rsid w:val="008C1FC7"/>
    <w:rsid w:val="008D04F9"/>
    <w:rsid w:val="008E6391"/>
    <w:rsid w:val="00904F10"/>
    <w:rsid w:val="00906F96"/>
    <w:rsid w:val="00942A7D"/>
    <w:rsid w:val="00972309"/>
    <w:rsid w:val="00976E6E"/>
    <w:rsid w:val="009805F6"/>
    <w:rsid w:val="009853C9"/>
    <w:rsid w:val="009869C2"/>
    <w:rsid w:val="009A278C"/>
    <w:rsid w:val="009B12C9"/>
    <w:rsid w:val="009C6BB3"/>
    <w:rsid w:val="009E3EAD"/>
    <w:rsid w:val="009F4C09"/>
    <w:rsid w:val="00A260D3"/>
    <w:rsid w:val="00A42A46"/>
    <w:rsid w:val="00A462D0"/>
    <w:rsid w:val="00A5167A"/>
    <w:rsid w:val="00A92B00"/>
    <w:rsid w:val="00AB5199"/>
    <w:rsid w:val="00AB7913"/>
    <w:rsid w:val="00AC5758"/>
    <w:rsid w:val="00B45591"/>
    <w:rsid w:val="00B528DD"/>
    <w:rsid w:val="00B91B4F"/>
    <w:rsid w:val="00BA2B28"/>
    <w:rsid w:val="00BA3B25"/>
    <w:rsid w:val="00BB3EE8"/>
    <w:rsid w:val="00BC6400"/>
    <w:rsid w:val="00BD1F8D"/>
    <w:rsid w:val="00BD5115"/>
    <w:rsid w:val="00BF0689"/>
    <w:rsid w:val="00C30BD7"/>
    <w:rsid w:val="00C5113E"/>
    <w:rsid w:val="00C52B85"/>
    <w:rsid w:val="00CA0D65"/>
    <w:rsid w:val="00CB12C5"/>
    <w:rsid w:val="00CB5340"/>
    <w:rsid w:val="00CC0091"/>
    <w:rsid w:val="00CC0A82"/>
    <w:rsid w:val="00CF2ACE"/>
    <w:rsid w:val="00CF48AF"/>
    <w:rsid w:val="00D13068"/>
    <w:rsid w:val="00D34E38"/>
    <w:rsid w:val="00D37A21"/>
    <w:rsid w:val="00D45CD6"/>
    <w:rsid w:val="00D57856"/>
    <w:rsid w:val="00D625DE"/>
    <w:rsid w:val="00D70035"/>
    <w:rsid w:val="00D75BBF"/>
    <w:rsid w:val="00D86405"/>
    <w:rsid w:val="00D95A6A"/>
    <w:rsid w:val="00DC2BBB"/>
    <w:rsid w:val="00DD0C2B"/>
    <w:rsid w:val="00DD7D02"/>
    <w:rsid w:val="00DF165D"/>
    <w:rsid w:val="00E03108"/>
    <w:rsid w:val="00E209A5"/>
    <w:rsid w:val="00E26D23"/>
    <w:rsid w:val="00E7375B"/>
    <w:rsid w:val="00E861DB"/>
    <w:rsid w:val="00EA01EA"/>
    <w:rsid w:val="00F01F9B"/>
    <w:rsid w:val="00F03F60"/>
    <w:rsid w:val="00F05559"/>
    <w:rsid w:val="00F06477"/>
    <w:rsid w:val="00F070C7"/>
    <w:rsid w:val="00F16221"/>
    <w:rsid w:val="00F1634C"/>
    <w:rsid w:val="00F46093"/>
    <w:rsid w:val="00F72199"/>
    <w:rsid w:val="00F974A1"/>
    <w:rsid w:val="00FA4ACC"/>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B55DF-07C9-4289-893C-3413B2904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1567</TotalTime>
  <Pages>1</Pages>
  <Words>2297</Words>
  <Characters>13098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56</cp:revision>
  <cp:lastPrinted>1899-12-31T23:00:00Z</cp:lastPrinted>
  <dcterms:created xsi:type="dcterms:W3CDTF">2021-08-23T09:05:00Z</dcterms:created>
  <dcterms:modified xsi:type="dcterms:W3CDTF">2022-03-30T08:21:00Z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